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B57" w:rsidRPr="007F52BC" w:rsidRDefault="00795D37" w:rsidP="00561B57">
      <w:pPr>
        <w:pStyle w:val="ad"/>
        <w:jc w:val="left"/>
        <w:rPr>
          <w:b w:val="0"/>
          <w:sz w:val="24"/>
          <w:szCs w:val="24"/>
        </w:rPr>
      </w:pPr>
      <w:r>
        <w:rPr>
          <w:sz w:val="24"/>
          <w:szCs w:val="24"/>
        </w:rPr>
        <w:t xml:space="preserve">                                         </w:t>
      </w:r>
      <w:r w:rsidR="00561B57" w:rsidRPr="007F52BC">
        <w:rPr>
          <w:sz w:val="24"/>
          <w:szCs w:val="24"/>
        </w:rPr>
        <w:t xml:space="preserve">ИНФОРМАЦИОННОЕ СООБЩЕНИЕ </w:t>
      </w:r>
    </w:p>
    <w:p w:rsidR="00561B57" w:rsidRPr="0093113A" w:rsidRDefault="00561B57" w:rsidP="00561B57">
      <w:pPr>
        <w:spacing w:after="0" w:line="240" w:lineRule="auto"/>
        <w:jc w:val="center"/>
        <w:rPr>
          <w:rFonts w:ascii="Times New Roman" w:hAnsi="Times New Roman"/>
          <w:sz w:val="24"/>
          <w:szCs w:val="24"/>
        </w:rPr>
      </w:pPr>
      <w:r w:rsidRPr="007F52BC">
        <w:rPr>
          <w:rFonts w:ascii="Times New Roman" w:hAnsi="Times New Roman"/>
          <w:b/>
          <w:sz w:val="24"/>
          <w:szCs w:val="24"/>
        </w:rPr>
        <w:t>О ПРОДАЖЕ 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 xml:space="preserve">УЛ. </w:t>
      </w:r>
      <w:r w:rsidR="009C7CE9">
        <w:rPr>
          <w:rFonts w:ascii="Times New Roman" w:hAnsi="Times New Roman"/>
          <w:b/>
          <w:sz w:val="24"/>
          <w:szCs w:val="24"/>
        </w:rPr>
        <w:t>ВОРОНОВА, Д. 14/2, ПОМ. 56</w:t>
      </w:r>
    </w:p>
    <w:p w:rsidR="00CA3126" w:rsidRPr="00EF6577" w:rsidRDefault="00CA3126" w:rsidP="00EF6577">
      <w:pPr>
        <w:pStyle w:val="a7"/>
        <w:spacing w:after="0" w:line="240" w:lineRule="auto"/>
        <w:jc w:val="center"/>
        <w:rPr>
          <w:rFonts w:ascii="Times New Roman" w:hAnsi="Times New Roman"/>
          <w:b/>
          <w:sz w:val="24"/>
          <w:szCs w:val="24"/>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2"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3"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4"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C7CE9">
        <w:rPr>
          <w:rFonts w:ascii="Times New Roman" w:hAnsi="Times New Roman"/>
          <w:sz w:val="24"/>
          <w:szCs w:val="24"/>
        </w:rPr>
        <w:t>постановление администрации города Красноярска от 03.12.2019  № 920 «О приватизации нежилого помещения по ул. Воронова, д. 14/2, пом. 56</w:t>
      </w:r>
      <w:r w:rsidR="009C7CE9" w:rsidRPr="00D421CA">
        <w:rPr>
          <w:rFonts w:ascii="Times New Roman" w:hAnsi="Times New Roman"/>
          <w:sz w:val="24"/>
          <w:szCs w:val="24"/>
        </w:rPr>
        <w:t>»</w:t>
      </w:r>
      <w:r w:rsidR="009C7CE9">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9C7CE9" w:rsidRPr="002350B6" w:rsidRDefault="00D07ED0" w:rsidP="009C7CE9">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9C7CE9">
        <w:rPr>
          <w:rFonts w:ascii="Times New Roman" w:hAnsi="Times New Roman"/>
          <w:sz w:val="24"/>
          <w:szCs w:val="24"/>
        </w:rPr>
        <w:t>н</w:t>
      </w:r>
      <w:r w:rsidR="009C7CE9" w:rsidRPr="002350B6">
        <w:rPr>
          <w:rFonts w:ascii="Times New Roman" w:hAnsi="Times New Roman"/>
          <w:sz w:val="24"/>
          <w:szCs w:val="24"/>
        </w:rPr>
        <w:t>ежилое помещение</w:t>
      </w:r>
      <w:r w:rsidR="009C7CE9">
        <w:rPr>
          <w:rFonts w:ascii="Times New Roman" w:hAnsi="Times New Roman"/>
          <w:sz w:val="24"/>
          <w:szCs w:val="24"/>
        </w:rPr>
        <w:t xml:space="preserve"> о</w:t>
      </w:r>
      <w:r w:rsidR="009C7CE9" w:rsidRPr="002350B6">
        <w:rPr>
          <w:rFonts w:ascii="Times New Roman" w:hAnsi="Times New Roman"/>
          <w:sz w:val="24"/>
          <w:szCs w:val="24"/>
        </w:rPr>
        <w:t xml:space="preserve">бщей площадью </w:t>
      </w:r>
      <w:r w:rsidR="009C7CE9">
        <w:rPr>
          <w:rFonts w:ascii="Times New Roman" w:hAnsi="Times New Roman"/>
          <w:sz w:val="24"/>
          <w:szCs w:val="24"/>
        </w:rPr>
        <w:t xml:space="preserve">87,9 </w:t>
      </w:r>
      <w:r w:rsidR="009C7CE9" w:rsidRPr="002350B6">
        <w:rPr>
          <w:rFonts w:ascii="Times New Roman" w:hAnsi="Times New Roman"/>
          <w:sz w:val="24"/>
          <w:szCs w:val="24"/>
        </w:rPr>
        <w:t xml:space="preserve">кв. м, расположенное по адресу: </w:t>
      </w:r>
      <w:r w:rsidR="009C7CE9">
        <w:rPr>
          <w:rFonts w:ascii="Times New Roman" w:hAnsi="Times New Roman"/>
          <w:sz w:val="24"/>
          <w:szCs w:val="24"/>
        </w:rPr>
        <w:t xml:space="preserve">                           </w:t>
      </w:r>
      <w:r w:rsidR="009C7CE9" w:rsidRPr="002350B6">
        <w:rPr>
          <w:rFonts w:ascii="Times New Roman" w:hAnsi="Times New Roman"/>
          <w:sz w:val="24"/>
          <w:szCs w:val="24"/>
        </w:rPr>
        <w:t xml:space="preserve">г. Красноярск, </w:t>
      </w:r>
      <w:r w:rsidR="009C7CE9">
        <w:rPr>
          <w:rFonts w:ascii="Times New Roman" w:hAnsi="Times New Roman"/>
          <w:sz w:val="24"/>
          <w:szCs w:val="24"/>
        </w:rPr>
        <w:t>ул. Воронова, д. 14/2, пом. 56</w:t>
      </w:r>
      <w:r w:rsidR="009C7CE9" w:rsidRPr="002350B6">
        <w:rPr>
          <w:rFonts w:ascii="Times New Roman" w:hAnsi="Times New Roman"/>
          <w:sz w:val="24"/>
          <w:szCs w:val="24"/>
        </w:rPr>
        <w:t>.</w:t>
      </w:r>
    </w:p>
    <w:p w:rsidR="009C7CE9" w:rsidRPr="002350B6" w:rsidRDefault="009C7CE9" w:rsidP="009C7CE9">
      <w:pPr>
        <w:pStyle w:val="af3"/>
        <w:spacing w:after="0"/>
        <w:ind w:left="0" w:firstLine="709"/>
        <w:jc w:val="both"/>
        <w:rPr>
          <w:b/>
        </w:rPr>
      </w:pPr>
      <w:r w:rsidRPr="002350B6">
        <w:t xml:space="preserve">Нежилое помещение находится </w:t>
      </w:r>
      <w:r>
        <w:t>в подвале</w:t>
      </w:r>
      <w:r w:rsidRPr="002350B6">
        <w:t xml:space="preserve"> </w:t>
      </w:r>
      <w:r>
        <w:t>пяти</w:t>
      </w:r>
      <w:r w:rsidRPr="002350B6">
        <w:t>этажного</w:t>
      </w:r>
      <w:r>
        <w:t xml:space="preserve"> жилого дома </w:t>
      </w:r>
      <w:r w:rsidRPr="002350B6">
        <w:t>19</w:t>
      </w:r>
      <w:r>
        <w:t xml:space="preserve">80 </w:t>
      </w:r>
      <w:r w:rsidRPr="002350B6">
        <w:t xml:space="preserve">года постройки. </w:t>
      </w:r>
      <w:r>
        <w:t>Отдельный вход имеется</w:t>
      </w:r>
      <w:r w:rsidRPr="002350B6">
        <w:t>.</w:t>
      </w:r>
    </w:p>
    <w:p w:rsidR="00D07ED0" w:rsidRPr="00FB7B19" w:rsidRDefault="009C7CE9" w:rsidP="009C7CE9">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9C7CE9"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14.06.2019, отменены. Торги, назначенные на 29.11.2019, признаны несостоявшимися в связи с отсутствием участников</w:t>
      </w:r>
      <w:r w:rsidR="00FA7C93">
        <w:rPr>
          <w:rFonts w:ascii="Times New Roman" w:hAnsi="Times New Roman"/>
          <w:sz w:val="24"/>
          <w:szCs w:val="24"/>
        </w:rPr>
        <w:t>.</w:t>
      </w:r>
      <w:r>
        <w:rPr>
          <w:rFonts w:ascii="Times New Roman" w:hAnsi="Times New Roman"/>
          <w:sz w:val="24"/>
          <w:szCs w:val="24"/>
        </w:rPr>
        <w:t xml:space="preserve"> Торги, назначенные на 09.01.2020, признаны несостоявшимися в связи с тем, что принято решение о признании участником только одного претендента</w:t>
      </w:r>
      <w:r w:rsidR="002E4BFC">
        <w:rPr>
          <w:rFonts w:ascii="Times New Roman" w:hAnsi="Times New Roman"/>
          <w:sz w:val="24"/>
          <w:szCs w:val="24"/>
        </w:rPr>
        <w:t>.</w:t>
      </w:r>
      <w:bookmarkStart w:id="0" w:name="_GoBack"/>
      <w:bookmarkEnd w:id="0"/>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9C7CE9">
        <w:rPr>
          <w:rFonts w:ascii="Times New Roman" w:hAnsi="Times New Roman"/>
          <w:b/>
          <w:sz w:val="24"/>
          <w:szCs w:val="24"/>
        </w:rPr>
        <w:t>31</w:t>
      </w:r>
      <w:r w:rsidRPr="00EF6577">
        <w:rPr>
          <w:rFonts w:ascii="Times New Roman" w:hAnsi="Times New Roman"/>
          <w:b/>
          <w:sz w:val="24"/>
          <w:szCs w:val="24"/>
        </w:rPr>
        <w:t>.</w:t>
      </w:r>
      <w:r w:rsidR="00055A47" w:rsidRPr="00EF6577">
        <w:rPr>
          <w:rFonts w:ascii="Times New Roman" w:hAnsi="Times New Roman"/>
          <w:b/>
          <w:sz w:val="24"/>
          <w:szCs w:val="24"/>
        </w:rPr>
        <w:t>1</w:t>
      </w:r>
      <w:r w:rsidR="00F62897">
        <w:rPr>
          <w:rFonts w:ascii="Times New Roman" w:hAnsi="Times New Roman"/>
          <w:b/>
          <w:sz w:val="24"/>
          <w:szCs w:val="24"/>
        </w:rPr>
        <w:t>2</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9C7CE9">
        <w:rPr>
          <w:rFonts w:ascii="Times New Roman" w:hAnsi="Times New Roman"/>
          <w:b/>
          <w:sz w:val="24"/>
          <w:szCs w:val="24"/>
        </w:rPr>
        <w:t>10</w:t>
      </w:r>
      <w:r w:rsidR="00BB58FC">
        <w:rPr>
          <w:rFonts w:ascii="Times New Roman" w:hAnsi="Times New Roman"/>
          <w:b/>
          <w:sz w:val="24"/>
          <w:szCs w:val="24"/>
        </w:rPr>
        <w:t>.</w:t>
      </w:r>
      <w:r w:rsidR="00F62897">
        <w:rPr>
          <w:rFonts w:ascii="Times New Roman" w:hAnsi="Times New Roman"/>
          <w:b/>
          <w:sz w:val="24"/>
          <w:szCs w:val="24"/>
        </w:rPr>
        <w:t>0</w:t>
      </w:r>
      <w:r w:rsidR="009C7CE9">
        <w:rPr>
          <w:rFonts w:ascii="Times New Roman" w:hAnsi="Times New Roman"/>
          <w:b/>
          <w:sz w:val="24"/>
          <w:szCs w:val="24"/>
        </w:rPr>
        <w:t>2</w:t>
      </w:r>
      <w:r w:rsidRPr="00D421CA">
        <w:rPr>
          <w:rFonts w:ascii="Times New Roman" w:hAnsi="Times New Roman"/>
          <w:b/>
          <w:sz w:val="24"/>
          <w:szCs w:val="24"/>
        </w:rPr>
        <w:t>.20</w:t>
      </w:r>
      <w:r w:rsidR="00F62897">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9C7CE9" w:rsidRPr="009C7CE9">
        <w:rPr>
          <w:rFonts w:ascii="Times New Roman" w:hAnsi="Times New Roman"/>
          <w:b/>
          <w:sz w:val="24"/>
          <w:szCs w:val="24"/>
        </w:rPr>
        <w:t>12</w:t>
      </w:r>
      <w:r w:rsidR="000167A0" w:rsidRPr="009C7CE9">
        <w:rPr>
          <w:rFonts w:ascii="Times New Roman" w:hAnsi="Times New Roman"/>
          <w:b/>
          <w:sz w:val="24"/>
          <w:szCs w:val="24"/>
        </w:rPr>
        <w:t>.</w:t>
      </w:r>
      <w:r w:rsidR="00F62897" w:rsidRPr="009C7CE9">
        <w:rPr>
          <w:rFonts w:ascii="Times New Roman" w:hAnsi="Times New Roman"/>
          <w:b/>
          <w:sz w:val="24"/>
          <w:szCs w:val="24"/>
        </w:rPr>
        <w:t>0</w:t>
      </w:r>
      <w:r w:rsidR="00055A47" w:rsidRPr="009C7CE9">
        <w:rPr>
          <w:rFonts w:ascii="Times New Roman" w:hAnsi="Times New Roman"/>
          <w:b/>
          <w:sz w:val="24"/>
          <w:szCs w:val="24"/>
        </w:rPr>
        <w:t>2</w:t>
      </w:r>
      <w:r w:rsidRPr="004A5DF1">
        <w:rPr>
          <w:rFonts w:ascii="Times New Roman" w:hAnsi="Times New Roman"/>
          <w:b/>
          <w:sz w:val="24"/>
          <w:szCs w:val="24"/>
        </w:rPr>
        <w:t>.</w:t>
      </w:r>
      <w:r w:rsidRPr="006F5EED">
        <w:rPr>
          <w:rFonts w:ascii="Times New Roman" w:hAnsi="Times New Roman"/>
          <w:b/>
          <w:sz w:val="24"/>
          <w:szCs w:val="24"/>
        </w:rPr>
        <w:t>20</w:t>
      </w:r>
      <w:r w:rsidR="00F62897">
        <w:rPr>
          <w:rFonts w:ascii="Times New Roman" w:hAnsi="Times New Roman"/>
          <w:b/>
          <w:sz w:val="24"/>
          <w:szCs w:val="24"/>
        </w:rPr>
        <w:t>20</w:t>
      </w:r>
      <w:r w:rsidRPr="006F5EED">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9C7CE9">
        <w:rPr>
          <w:rFonts w:ascii="Times New Roman" w:hAnsi="Times New Roman"/>
          <w:b/>
          <w:sz w:val="24"/>
          <w:szCs w:val="24"/>
        </w:rPr>
        <w:t>14</w:t>
      </w:r>
      <w:r w:rsidRPr="00D421CA">
        <w:rPr>
          <w:rFonts w:ascii="Times New Roman" w:hAnsi="Times New Roman"/>
          <w:b/>
          <w:sz w:val="24"/>
          <w:szCs w:val="24"/>
        </w:rPr>
        <w:t>.</w:t>
      </w:r>
      <w:r w:rsidR="00F62897">
        <w:rPr>
          <w:rFonts w:ascii="Times New Roman" w:hAnsi="Times New Roman"/>
          <w:b/>
          <w:sz w:val="24"/>
          <w:szCs w:val="24"/>
        </w:rPr>
        <w:t>02</w:t>
      </w:r>
      <w:r w:rsidRPr="00D421CA">
        <w:rPr>
          <w:rFonts w:ascii="Times New Roman" w:hAnsi="Times New Roman"/>
          <w:b/>
          <w:sz w:val="24"/>
          <w:szCs w:val="24"/>
        </w:rPr>
        <w:t>.20</w:t>
      </w:r>
      <w:r w:rsidR="00F62897">
        <w:rPr>
          <w:rFonts w:ascii="Times New Roman" w:hAnsi="Times New Roman"/>
          <w:b/>
          <w:sz w:val="24"/>
          <w:szCs w:val="24"/>
        </w:rPr>
        <w:t>20</w:t>
      </w:r>
      <w:r w:rsidRPr="00D421CA">
        <w:rPr>
          <w:rFonts w:ascii="Times New Roman" w:hAnsi="Times New Roman"/>
          <w:b/>
          <w:sz w:val="24"/>
          <w:szCs w:val="24"/>
        </w:rPr>
        <w:t xml:space="preserve"> в </w:t>
      </w:r>
      <w:r w:rsidR="00AA1C21">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9C7CE9">
        <w:t>1 382</w:t>
      </w:r>
      <w:r w:rsidR="009C7CE9" w:rsidRPr="00D421CA">
        <w:t xml:space="preserve"> 000 (</w:t>
      </w:r>
      <w:r w:rsidR="009C7CE9">
        <w:t>один миллион триста восемьдесят две тысячи</w:t>
      </w:r>
      <w:r w:rsidR="009C7CE9"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9C7CE9">
        <w:t>691 000</w:t>
      </w:r>
      <w:r w:rsidR="009C7CE9" w:rsidRPr="00D421CA">
        <w:t xml:space="preserve"> (</w:t>
      </w:r>
      <w:r w:rsidR="009C7CE9">
        <w:t>шестьсот девяносто одна тысяча</w:t>
      </w:r>
      <w:r w:rsidR="009C7CE9"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9C7CE9">
        <w:t>138 200</w:t>
      </w:r>
      <w:r w:rsidR="009C7CE9" w:rsidRPr="003B3B30">
        <w:t xml:space="preserve"> (</w:t>
      </w:r>
      <w:r w:rsidR="009C7CE9">
        <w:t>сто тридцать восемь тысяч двести</w:t>
      </w:r>
      <w:r w:rsidR="009C7CE9" w:rsidRPr="003B3B30">
        <w:t>) рублей</w:t>
      </w:r>
      <w:r w:rsidRPr="003B3B30">
        <w:t>.</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9C7CE9">
        <w:t>69 100</w:t>
      </w:r>
      <w:r w:rsidR="009C7CE9" w:rsidRPr="00D421CA">
        <w:t xml:space="preserve"> (</w:t>
      </w:r>
      <w:r w:rsidR="009C7CE9">
        <w:t>шестьдесят девять тысяч сто</w:t>
      </w:r>
      <w:r w:rsidR="009C7CE9" w:rsidRPr="00D421CA">
        <w:t>)</w:t>
      </w:r>
      <w:r w:rsidR="009C7CE9"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C7CE9">
        <w:t>276 400</w:t>
      </w:r>
      <w:r w:rsidR="009C7CE9" w:rsidRPr="00D421CA">
        <w:t xml:space="preserve"> (</w:t>
      </w:r>
      <w:r w:rsidR="009C7CE9">
        <w:t>двести семьдесят шесть тысяч четыреста</w:t>
      </w:r>
      <w:r w:rsidR="009C7CE9" w:rsidRPr="00D421CA">
        <w:t>)</w:t>
      </w:r>
      <w:r w:rsidR="009C7CE9"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9C7CE9">
        <w:rPr>
          <w:sz w:val="24"/>
        </w:rPr>
        <w:t>31</w:t>
      </w:r>
      <w:r w:rsidR="00055A47">
        <w:rPr>
          <w:sz w:val="24"/>
        </w:rPr>
        <w:t>.1</w:t>
      </w:r>
      <w:r w:rsidR="00F62897">
        <w:rPr>
          <w:sz w:val="24"/>
        </w:rPr>
        <w:t>2</w:t>
      </w:r>
      <w:r w:rsidR="006F5EED">
        <w:rPr>
          <w:sz w:val="24"/>
        </w:rPr>
        <w:t xml:space="preserve">.2019 по </w:t>
      </w:r>
      <w:r w:rsidR="009C7CE9">
        <w:rPr>
          <w:sz w:val="24"/>
        </w:rPr>
        <w:t>10</w:t>
      </w:r>
      <w:r w:rsidR="006F5EED">
        <w:rPr>
          <w:sz w:val="24"/>
        </w:rPr>
        <w:t>.</w:t>
      </w:r>
      <w:r w:rsidR="00F62897">
        <w:rPr>
          <w:sz w:val="24"/>
        </w:rPr>
        <w:t>0</w:t>
      </w:r>
      <w:r w:rsidR="009C7CE9">
        <w:rPr>
          <w:sz w:val="24"/>
        </w:rPr>
        <w:t>2</w:t>
      </w:r>
      <w:r w:rsidR="00E62457" w:rsidRPr="00D421CA">
        <w:rPr>
          <w:sz w:val="24"/>
        </w:rPr>
        <w:t>.20</w:t>
      </w:r>
      <w:r w:rsidR="00F62897">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561B57">
        <w:rPr>
          <w:sz w:val="24"/>
        </w:rPr>
        <w:t xml:space="preserve">                 ул. </w:t>
      </w:r>
      <w:r w:rsidR="009C7CE9">
        <w:rPr>
          <w:sz w:val="24"/>
        </w:rPr>
        <w:t>Воронова</w:t>
      </w:r>
      <w:r w:rsidR="00561B57">
        <w:rPr>
          <w:sz w:val="24"/>
        </w:rPr>
        <w:t xml:space="preserve">, д. </w:t>
      </w:r>
      <w:r w:rsidR="009C7CE9">
        <w:rPr>
          <w:sz w:val="24"/>
        </w:rPr>
        <w:t>14/2</w:t>
      </w:r>
      <w:r w:rsidR="00561B57">
        <w:rPr>
          <w:sz w:val="24"/>
        </w:rPr>
        <w:t xml:space="preserve">, пом. </w:t>
      </w:r>
      <w:r w:rsidR="009C7CE9">
        <w:rPr>
          <w:sz w:val="24"/>
        </w:rPr>
        <w:t>56</w:t>
      </w:r>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lastRenderedPageBreak/>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 xml:space="preserve">до даты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w:t>
      </w:r>
      <w:r w:rsidR="00795D37" w:rsidRPr="009B5AC0">
        <w:rPr>
          <w:rFonts w:ascii="Times New Roman" w:hAnsi="Times New Roman"/>
          <w:sz w:val="24"/>
          <w:szCs w:val="24"/>
          <w:lang w:eastAsia="ru-RU"/>
        </w:rPr>
        <w:lastRenderedPageBreak/>
        <w:t>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F62897">
        <w:rPr>
          <w:rFonts w:ascii="Times New Roman" w:hAnsi="Times New Roman" w:cs="Times New Roman"/>
          <w:bCs/>
          <w:sz w:val="24"/>
          <w:szCs w:val="24"/>
        </w:rPr>
        <w:t>в форме электронного документа.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8F75F2" w:rsidRDefault="008F75F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8F75F2" w:rsidP="00055A47">
      <w:pPr>
        <w:pStyle w:val="TextBasTxt"/>
        <w:spacing w:line="192" w:lineRule="auto"/>
        <w:ind w:firstLine="0"/>
      </w:pPr>
      <w:r>
        <w:t>Н</w:t>
      </w:r>
      <w:r w:rsidR="00055A47">
        <w:t xml:space="preserve">ачальник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w:t>
      </w:r>
      <w:r w:rsidR="008F75F2">
        <w:t>Ж.А. Ильина</w:t>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8"/>
          <w:headerReference w:type="default" r:id="rId19"/>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расположенное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___________от_______.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r w:rsidRPr="00234A61">
        <w:rPr>
          <w:rFonts w:ascii="Times New Roman" w:hAnsi="Times New Roman"/>
          <w:bCs/>
          <w:iCs/>
          <w:snapToGrid w:val="0"/>
          <w:sz w:val="28"/>
          <w:szCs w:val="28"/>
        </w:rPr>
        <w:t>.  ЦЕНА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кв.м</w:t>
      </w:r>
      <w:proofErr w:type="spell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r w:rsidRPr="00234A61">
        <w:rPr>
          <w:rFonts w:ascii="Times New Roman" w:hAnsi="Times New Roman"/>
          <w:bCs/>
          <w:snapToGrid w:val="0"/>
          <w:sz w:val="28"/>
          <w:szCs w:val="28"/>
        </w:rPr>
        <w:t>.  ПРАВА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Оплатить стоимость Объекта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r w:rsidRPr="00234A61">
        <w:rPr>
          <w:rFonts w:ascii="Times New Roman" w:hAnsi="Times New Roman"/>
          <w:bCs/>
          <w:snapToGrid w:val="0"/>
          <w:sz w:val="28"/>
          <w:szCs w:val="28"/>
        </w:rPr>
        <w:t>.  ПРАВО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В платежном поручении в графе «назначение платежа» указывается: уплата пени за просрочку платежа согласно договору купли-продажи от_____№____.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B5" w:rsidRDefault="009A0BB5" w:rsidP="00B70277">
      <w:pPr>
        <w:spacing w:after="0" w:line="240" w:lineRule="auto"/>
      </w:pPr>
      <w:r>
        <w:separator/>
      </w:r>
    </w:p>
  </w:endnote>
  <w:endnote w:type="continuationSeparator" w:id="0">
    <w:p w:rsidR="009A0BB5" w:rsidRDefault="009A0BB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B5" w:rsidRDefault="009A0BB5" w:rsidP="00B70277">
      <w:pPr>
        <w:spacing w:after="0" w:line="240" w:lineRule="auto"/>
      </w:pPr>
      <w:r>
        <w:separator/>
      </w:r>
    </w:p>
  </w:footnote>
  <w:footnote w:type="continuationSeparator" w:id="0">
    <w:p w:rsidR="009A0BB5" w:rsidRDefault="009A0BB5"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E4BFC">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08E"/>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502"/>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CE"/>
    <w:rsid w:val="002D72FF"/>
    <w:rsid w:val="002D76D8"/>
    <w:rsid w:val="002D7A88"/>
    <w:rsid w:val="002E0AA7"/>
    <w:rsid w:val="002E1734"/>
    <w:rsid w:val="002E2A5A"/>
    <w:rsid w:val="002E3244"/>
    <w:rsid w:val="002E3267"/>
    <w:rsid w:val="002E3735"/>
    <w:rsid w:val="002E4147"/>
    <w:rsid w:val="002E4228"/>
    <w:rsid w:val="002E4292"/>
    <w:rsid w:val="002E4BFC"/>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4F6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B57"/>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9BB"/>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17C7E"/>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0BB5"/>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CE9"/>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11F6"/>
    <w:rsid w:val="00AA1C21"/>
    <w:rsid w:val="00AA23AD"/>
    <w:rsid w:val="00AA269C"/>
    <w:rsid w:val="00AA3573"/>
    <w:rsid w:val="00AA4601"/>
    <w:rsid w:val="00AA50ED"/>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661"/>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29"/>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577"/>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897"/>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A7C93"/>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mi@admkrsk.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dmkrsk.ru/" TargetMode="Externa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3109A-BA9F-422D-98FC-7CF90111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FF143-D83C-4680-8260-1C3CF03E2D1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2198F5-A577-4135-8B41-3E84F0A37BA3}">
  <ds:schemaRefs>
    <ds:schemaRef ds:uri="http://schemas.microsoft.com/sharepoint/v3/contenttype/forms"/>
  </ds:schemaRefs>
</ds:datastoreItem>
</file>

<file path=customXml/itemProps4.xml><?xml version="1.0" encoding="utf-8"?>
<ds:datastoreItem xmlns:ds="http://schemas.openxmlformats.org/officeDocument/2006/customXml" ds:itemID="{3DD80D80-456D-4FDD-8E60-635F5631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14</Pages>
  <Words>6350</Words>
  <Characters>36198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54</cp:revision>
  <cp:lastPrinted>2019-06-24T05:25:00Z</cp:lastPrinted>
  <dcterms:created xsi:type="dcterms:W3CDTF">2019-06-19T05:09:00Z</dcterms:created>
  <dcterms:modified xsi:type="dcterms:W3CDTF">2019-12-31T04:28:00Z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